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4336">
      <w:pPr>
        <w:pStyle w:val="2"/>
        <w:bidi w:val="0"/>
        <w:rPr>
          <w:rFonts w:hint="eastAsia"/>
          <w:lang w:val="en-US" w:eastAsia="zh-CN"/>
        </w:rPr>
      </w:pPr>
      <w:bookmarkStart w:id="14" w:name="_GoBack"/>
      <w:bookmarkEnd w:id="14"/>
      <w:r>
        <w:rPr>
          <w:rFonts w:hint="eastAsia"/>
          <w:lang w:val="en-US" w:eastAsia="zh-CN"/>
        </w:rPr>
        <w:t>《</w:t>
      </w:r>
      <w:r>
        <w:rPr>
          <w:rFonts w:hint="default"/>
          <w:lang w:val="en-US" w:eastAsia="zh-CN"/>
        </w:rPr>
        <w:t>神木市孙家岔镇狼窝渠</w:t>
      </w:r>
      <w:r>
        <w:rPr>
          <w:rFonts w:hint="default"/>
        </w:rPr>
        <w:t>煤矿</w:t>
      </w:r>
      <w:bookmarkStart w:id="0" w:name="_Toc3039"/>
      <w:bookmarkStart w:id="1" w:name="_Toc19995"/>
      <w:bookmarkStart w:id="2" w:name="_Toc14977"/>
      <w:bookmarkStart w:id="3" w:name="_Toc22270"/>
      <w:r>
        <w:rPr>
          <w:rFonts w:hint="eastAsia"/>
          <w:lang w:eastAsia="zh-CN"/>
        </w:rPr>
        <w:t>绿色矿山</w:t>
      </w:r>
      <w:bookmarkEnd w:id="0"/>
      <w:bookmarkEnd w:id="1"/>
      <w:bookmarkEnd w:id="2"/>
      <w:bookmarkEnd w:id="3"/>
      <w:r>
        <w:rPr>
          <w:rFonts w:hint="eastAsia"/>
          <w:lang w:val="en-US" w:eastAsia="zh-CN"/>
        </w:rPr>
        <w:t>建设实施方案》</w:t>
      </w:r>
    </w:p>
    <w:p w14:paraId="2A8C8B01">
      <w:pPr>
        <w:pStyle w:val="2"/>
        <w:bidi w:val="0"/>
        <w:rPr>
          <w:rFonts w:hint="default"/>
          <w:lang w:val="en-US"/>
        </w:rPr>
      </w:pPr>
      <w:r>
        <w:rPr>
          <w:rFonts w:hint="eastAsia"/>
          <w:lang w:val="en-US" w:eastAsia="zh-CN"/>
        </w:rPr>
        <w:t>摘    要</w:t>
      </w:r>
    </w:p>
    <w:p w14:paraId="0222EC84">
      <w:pPr>
        <w:bidi w:val="0"/>
        <w:rPr>
          <w:rFonts w:hint="default"/>
          <w:color w:val="auto"/>
        </w:rPr>
      </w:pPr>
      <w:r>
        <w:rPr>
          <w:rFonts w:hint="default"/>
          <w:color w:val="auto"/>
        </w:rPr>
        <w:t>为了落实部、省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lang w:val="en-US" w:eastAsia="zh-CN"/>
        </w:rPr>
        <w:t>市自然资源等部门</w:t>
      </w:r>
      <w:r>
        <w:rPr>
          <w:rFonts w:hint="default"/>
          <w:color w:val="auto"/>
          <w:lang w:val="en-US" w:eastAsia="zh-CN"/>
        </w:rPr>
        <w:t>关于</w:t>
      </w:r>
      <w:r>
        <w:rPr>
          <w:rFonts w:hint="default"/>
          <w:color w:val="auto"/>
        </w:rPr>
        <w:t>绿色矿山建设的要求</w:t>
      </w:r>
      <w:r>
        <w:rPr>
          <w:rFonts w:hint="default"/>
          <w:color w:val="auto"/>
          <w:lang w:eastAsia="zh-CN"/>
        </w:rPr>
        <w:t>，</w:t>
      </w:r>
      <w:r>
        <w:rPr>
          <w:rFonts w:hint="default"/>
          <w:color w:val="auto"/>
        </w:rPr>
        <w:t>全面推进</w:t>
      </w:r>
      <w:r>
        <w:rPr>
          <w:rFonts w:hint="eastAsia"/>
          <w:color w:val="auto"/>
          <w:lang w:val="en-US" w:eastAsia="zh-CN"/>
        </w:rPr>
        <w:t>神木市孙家岔镇</w:t>
      </w:r>
      <w:r>
        <w:rPr>
          <w:rFonts w:hint="eastAsia"/>
          <w:color w:val="auto"/>
          <w:lang w:eastAsia="zh-CN"/>
        </w:rPr>
        <w:t>狼窝渠煤矿</w:t>
      </w:r>
      <w:r>
        <w:rPr>
          <w:rFonts w:hint="default"/>
          <w:color w:val="auto"/>
        </w:rPr>
        <w:t>绿色矿山建设工作，</w:t>
      </w:r>
      <w:r>
        <w:rPr>
          <w:rFonts w:hint="default"/>
          <w:color w:val="auto"/>
          <w:lang w:val="en-US" w:eastAsia="zh-CN"/>
        </w:rPr>
        <w:t>早日</w:t>
      </w:r>
      <w:r>
        <w:rPr>
          <w:rFonts w:hint="default"/>
          <w:color w:val="auto"/>
        </w:rPr>
        <w:t>建成绿色矿山，</w:t>
      </w:r>
      <w:r>
        <w:rPr>
          <w:rFonts w:hint="default"/>
          <w:color w:val="auto"/>
          <w:lang w:val="en-US" w:eastAsia="zh-CN"/>
        </w:rPr>
        <w:t>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default"/>
          <w:color w:val="auto"/>
          <w:lang w:val="en-US" w:eastAsia="zh-CN"/>
        </w:rPr>
        <w:t>年</w:t>
      </w:r>
      <w:r>
        <w:rPr>
          <w:rFonts w:hint="eastAsia"/>
          <w:color w:val="auto"/>
          <w:lang w:val="en-US" w:eastAsia="zh-CN"/>
        </w:rPr>
        <w:t>7</w:t>
      </w:r>
      <w:r>
        <w:rPr>
          <w:rFonts w:hint="default"/>
          <w:color w:val="auto"/>
          <w:lang w:val="en-US" w:eastAsia="zh-CN"/>
        </w:rPr>
        <w:t>月</w:t>
      </w:r>
      <w:r>
        <w:rPr>
          <w:rFonts w:hint="eastAsia"/>
          <w:color w:val="auto"/>
          <w:lang w:eastAsia="zh-CN"/>
        </w:rPr>
        <w:t>神木狼窝渠矿业有限公司</w:t>
      </w:r>
      <w:r>
        <w:rPr>
          <w:rFonts w:hint="eastAsia"/>
          <w:color w:val="auto"/>
          <w:lang w:val="en-US" w:eastAsia="zh-CN"/>
        </w:rPr>
        <w:t>根据</w:t>
      </w:r>
      <w:r>
        <w:rPr>
          <w:rFonts w:hint="default"/>
          <w:color w:val="auto"/>
          <w:lang w:val="en-US" w:eastAsia="zh-CN"/>
        </w:rPr>
        <w:t>《煤炭行业绿色矿山建设规范》（DZ/T 0315-2018）</w:t>
      </w:r>
      <w:r>
        <w:rPr>
          <w:rFonts w:hint="eastAsia"/>
          <w:color w:val="auto"/>
          <w:lang w:val="en-US" w:eastAsia="zh-CN"/>
        </w:rPr>
        <w:t>、《陕西省省级</w:t>
      </w:r>
      <w:r>
        <w:rPr>
          <w:rFonts w:hint="eastAsia"/>
          <w:color w:val="auto"/>
          <w:lang w:eastAsia="zh-CN"/>
        </w:rPr>
        <w:t>绿色矿山建设评价指标</w:t>
      </w:r>
      <w:r>
        <w:rPr>
          <w:rFonts w:hint="eastAsia"/>
          <w:color w:val="auto"/>
          <w:lang w:val="en-US" w:eastAsia="zh-CN"/>
        </w:rPr>
        <w:t>》等规范、政策，</w:t>
      </w:r>
      <w:r>
        <w:rPr>
          <w:rFonts w:hint="default"/>
          <w:color w:val="auto"/>
          <w:lang w:eastAsia="zh-CN"/>
        </w:rPr>
        <w:t>编制</w:t>
      </w:r>
      <w:r>
        <w:rPr>
          <w:rFonts w:hint="eastAsia"/>
          <w:color w:val="auto"/>
          <w:lang w:eastAsia="zh-CN"/>
        </w:rPr>
        <w:t>了</w:t>
      </w:r>
      <w:r>
        <w:rPr>
          <w:rFonts w:hint="default"/>
          <w:color w:val="auto"/>
          <w:lang w:eastAsia="zh-CN"/>
        </w:rPr>
        <w:t>《</w:t>
      </w:r>
      <w:r>
        <w:rPr>
          <w:rFonts w:hint="eastAsia"/>
          <w:color w:val="auto"/>
          <w:lang w:eastAsia="zh-CN"/>
        </w:rPr>
        <w:t>神木市孙家岔镇狼窝渠煤矿</w:t>
      </w:r>
      <w:r>
        <w:rPr>
          <w:rFonts w:hint="default"/>
          <w:color w:val="auto"/>
        </w:rPr>
        <w:t>绿色矿山建设</w:t>
      </w:r>
      <w:r>
        <w:rPr>
          <w:rFonts w:hint="eastAsia"/>
          <w:color w:val="auto"/>
          <w:lang w:val="en-US" w:eastAsia="zh-CN"/>
        </w:rPr>
        <w:t>实施方案</w:t>
      </w:r>
      <w:r>
        <w:rPr>
          <w:rFonts w:hint="default"/>
          <w:color w:val="auto"/>
        </w:rPr>
        <w:t>》。</w:t>
      </w:r>
    </w:p>
    <w:p w14:paraId="77A2E7BF">
      <w:pPr>
        <w:bidi w:val="0"/>
        <w:rPr>
          <w:rFonts w:hint="default"/>
          <w:lang w:val="en-US" w:eastAsia="zh-CN"/>
        </w:rPr>
      </w:pPr>
      <w:bookmarkStart w:id="4" w:name="_Toc24538"/>
      <w:bookmarkStart w:id="5" w:name="_Toc9327"/>
      <w:bookmarkStart w:id="6" w:name="_Toc11440"/>
      <w:bookmarkStart w:id="7" w:name="_Toc20363"/>
      <w:bookmarkStart w:id="8" w:name="_Toc11272"/>
      <w:r>
        <w:rPr>
          <w:rFonts w:hint="default"/>
          <w:b/>
          <w:bCs/>
          <w:lang w:val="en-US" w:eastAsia="zh-CN"/>
        </w:rPr>
        <w:t>编制目的</w:t>
      </w:r>
      <w:bookmarkEnd w:id="4"/>
      <w:bookmarkEnd w:id="5"/>
      <w:bookmarkEnd w:id="6"/>
      <w:bookmarkEnd w:id="7"/>
      <w:bookmarkEnd w:id="8"/>
      <w:r>
        <w:rPr>
          <w:rFonts w:hint="eastAsia"/>
          <w:b/>
          <w:bCs/>
          <w:lang w:val="en-US" w:eastAsia="zh-CN"/>
        </w:rPr>
        <w:t>：</w:t>
      </w:r>
      <w:r>
        <w:rPr>
          <w:rFonts w:hint="default"/>
          <w:lang w:val="en-US" w:eastAsia="zh-CN"/>
        </w:rPr>
        <w:t>建成矿区环境生态化、开采方式科学化、资源利用高效化、企业管理规范化、矿区社区和谐化的矿山，达到绿色矿山建设要求，申报进入陕西省绿色矿山名录</w:t>
      </w:r>
      <w:r>
        <w:rPr>
          <w:rFonts w:hint="default"/>
          <w:color w:val="auto"/>
          <w:lang w:val="en-US" w:eastAsia="zh-CN"/>
        </w:rPr>
        <w:t>及国家绿色矿山名录</w:t>
      </w:r>
      <w:r>
        <w:rPr>
          <w:rFonts w:hint="default"/>
          <w:lang w:val="en-US" w:eastAsia="zh-CN"/>
        </w:rPr>
        <w:t>。</w:t>
      </w:r>
    </w:p>
    <w:p w14:paraId="5D8A8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62"/>
        <w:textAlignment w:val="auto"/>
        <w:outlineLvl w:val="2"/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</w:pPr>
      <w:bookmarkStart w:id="9" w:name="_Toc4076"/>
      <w:bookmarkStart w:id="10" w:name="_Toc23033"/>
      <w:bookmarkStart w:id="11" w:name="_Toc15348"/>
      <w:bookmarkStart w:id="12" w:name="_Toc22671"/>
      <w:bookmarkStart w:id="13" w:name="_Toc10565"/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建设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任务</w:t>
      </w:r>
      <w:bookmarkEnd w:id="9"/>
      <w:bookmarkEnd w:id="10"/>
      <w:bookmarkEnd w:id="11"/>
      <w:bookmarkEnd w:id="12"/>
      <w:bookmarkEnd w:id="13"/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：</w:t>
      </w:r>
    </w:p>
    <w:p w14:paraId="6B4F5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62"/>
        <w:textAlignment w:val="auto"/>
        <w:outlineLvl w:val="2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（1）评估</w:t>
      </w:r>
      <w:r>
        <w:rPr>
          <w:rFonts w:hint="eastAsia"/>
          <w:color w:val="auto"/>
          <w:lang w:val="en-US" w:eastAsia="zh-CN"/>
        </w:rPr>
        <w:t>狼窝渠煤矿</w:t>
      </w:r>
      <w:r>
        <w:rPr>
          <w:rFonts w:hint="default"/>
          <w:color w:val="auto"/>
          <w:lang w:val="en-US" w:eastAsia="zh-CN"/>
        </w:rPr>
        <w:t>是否满足省级、</w:t>
      </w:r>
      <w:r>
        <w:rPr>
          <w:rFonts w:hint="default"/>
          <w:color w:val="auto"/>
        </w:rPr>
        <w:t>国家级</w:t>
      </w:r>
      <w:r>
        <w:rPr>
          <w:rFonts w:hint="default"/>
          <w:color w:val="auto"/>
          <w:lang w:val="en-US" w:eastAsia="zh-CN"/>
        </w:rPr>
        <w:t>绿色矿山建设的先决条件；</w:t>
      </w:r>
    </w:p>
    <w:p w14:paraId="48692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62"/>
        <w:textAlignment w:val="auto"/>
        <w:outlineLvl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（2）评估</w:t>
      </w:r>
      <w:r>
        <w:rPr>
          <w:rFonts w:hint="eastAsia"/>
          <w:color w:val="auto"/>
          <w:lang w:val="en-US" w:eastAsia="zh-CN"/>
        </w:rPr>
        <w:t>狼窝渠煤矿</w:t>
      </w:r>
      <w:r>
        <w:rPr>
          <w:rFonts w:hint="default"/>
          <w:color w:val="auto"/>
          <w:lang w:val="en-US" w:eastAsia="zh-CN"/>
        </w:rPr>
        <w:t>在矿区环境、资源</w:t>
      </w:r>
      <w:r>
        <w:rPr>
          <w:rFonts w:hint="eastAsia"/>
          <w:color w:val="auto"/>
          <w:lang w:val="en-US" w:eastAsia="zh-CN"/>
        </w:rPr>
        <w:t>开采</w:t>
      </w:r>
      <w:r>
        <w:rPr>
          <w:rFonts w:hint="default"/>
          <w:color w:val="auto"/>
          <w:lang w:val="en-US" w:eastAsia="zh-CN"/>
        </w:rPr>
        <w:t>、资源综合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利用、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绿色低碳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、生态修复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与环境治理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、科技创新与规范管理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大方面的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建设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现状；</w:t>
      </w:r>
    </w:p>
    <w:p w14:paraId="50F05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62"/>
        <w:textAlignment w:val="auto"/>
        <w:outlineLvl w:val="2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（3）查明</w:t>
      </w:r>
      <w:r>
        <w:rPr>
          <w:rFonts w:hint="eastAsia"/>
          <w:color w:val="auto"/>
          <w:lang w:val="en-US" w:eastAsia="zh-CN"/>
        </w:rPr>
        <w:t>狼窝渠煤矿</w:t>
      </w:r>
      <w:r>
        <w:rPr>
          <w:rFonts w:hint="default"/>
          <w:color w:val="auto"/>
          <w:lang w:val="en-US" w:eastAsia="zh-CN"/>
        </w:rPr>
        <w:t>在绿色矿山建设方面存在的问题，制定绿色矿山建设任务，明确绿色矿山建设的总体目标及年度目标；</w:t>
      </w:r>
    </w:p>
    <w:p w14:paraId="6066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62"/>
        <w:textAlignment w:val="auto"/>
        <w:outlineLvl w:val="2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（4）对</w:t>
      </w:r>
      <w:r>
        <w:rPr>
          <w:rFonts w:hint="eastAsia"/>
          <w:color w:val="auto"/>
          <w:lang w:val="en-US" w:eastAsia="zh-CN"/>
        </w:rPr>
        <w:t>狼窝渠煤矿</w:t>
      </w:r>
      <w:r>
        <w:rPr>
          <w:rFonts w:hint="default"/>
          <w:color w:val="auto"/>
          <w:lang w:val="en-US" w:eastAsia="zh-CN"/>
        </w:rPr>
        <w:t>在绿色矿山建设方面存在的问题，提出解决办法，安排相关绿色矿山建设工程，促进</w:t>
      </w:r>
      <w:r>
        <w:rPr>
          <w:rFonts w:hint="eastAsia"/>
          <w:color w:val="auto"/>
          <w:lang w:val="en-US" w:eastAsia="zh-CN"/>
        </w:rPr>
        <w:t>狼窝渠煤矿</w:t>
      </w:r>
      <w:r>
        <w:rPr>
          <w:rFonts w:hint="default"/>
          <w:color w:val="auto"/>
          <w:lang w:val="en-US" w:eastAsia="zh-CN"/>
        </w:rPr>
        <w:t>绿色矿山建设，达到</w:t>
      </w:r>
      <w:r>
        <w:rPr>
          <w:rFonts w:hint="eastAsia"/>
          <w:color w:val="auto"/>
          <w:lang w:val="en-US" w:eastAsia="zh-CN"/>
        </w:rPr>
        <w:t>进入</w:t>
      </w:r>
      <w:r>
        <w:rPr>
          <w:rFonts w:hint="default"/>
          <w:color w:val="auto"/>
          <w:lang w:val="en-US" w:eastAsia="zh-CN"/>
        </w:rPr>
        <w:t>陕西省绿色矿山</w:t>
      </w:r>
      <w:r>
        <w:rPr>
          <w:rFonts w:hint="eastAsia"/>
          <w:color w:val="auto"/>
          <w:lang w:val="en-US" w:eastAsia="zh-CN"/>
        </w:rPr>
        <w:t>名录</w:t>
      </w:r>
      <w:r>
        <w:rPr>
          <w:rFonts w:hint="default"/>
          <w:color w:val="auto"/>
          <w:lang w:val="en-US" w:eastAsia="zh-CN"/>
        </w:rPr>
        <w:t>申报要求；</w:t>
      </w:r>
    </w:p>
    <w:p w14:paraId="2244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62"/>
        <w:textAlignment w:val="auto"/>
        <w:outlineLvl w:val="2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（5）按照陕西省绿色矿山建设相关要求，开展</w:t>
      </w:r>
      <w:r>
        <w:rPr>
          <w:rFonts w:hint="eastAsia"/>
          <w:color w:val="auto"/>
          <w:lang w:val="en-US" w:eastAsia="zh-CN"/>
        </w:rPr>
        <w:t>狼窝渠煤矿</w:t>
      </w:r>
      <w:r>
        <w:rPr>
          <w:rFonts w:hint="default"/>
          <w:color w:val="auto"/>
          <w:lang w:val="en-US" w:eastAsia="zh-CN"/>
        </w:rPr>
        <w:t>绿色矿山自评，编制自评估报告，向县、市、省提交申请，申报进入陕西省绿色矿山名录及国家绿色矿山名录。</w:t>
      </w:r>
    </w:p>
    <w:p w14:paraId="3B2D9A71">
      <w:pPr>
        <w:bidi w:val="0"/>
        <w:rPr>
          <w:rFonts w:hint="eastAsia"/>
          <w:b/>
          <w:bCs/>
          <w:color w:val="33312F"/>
          <w:lang w:val="en-US" w:eastAsia="zh-CN"/>
        </w:rPr>
      </w:pPr>
      <w:r>
        <w:rPr>
          <w:rFonts w:hint="default"/>
          <w:b/>
          <w:bCs/>
          <w:color w:val="33312F"/>
          <w:lang w:val="en-US" w:eastAsia="zh-CN"/>
        </w:rPr>
        <w:t>建设目标</w:t>
      </w:r>
      <w:r>
        <w:rPr>
          <w:rFonts w:hint="eastAsia"/>
          <w:b/>
          <w:bCs/>
          <w:color w:val="33312F"/>
          <w:lang w:val="en-US" w:eastAsia="zh-CN"/>
        </w:rPr>
        <w:t>：</w:t>
      </w:r>
    </w:p>
    <w:p w14:paraId="4488F3FA">
      <w:pPr>
        <w:bidi w:val="0"/>
        <w:rPr>
          <w:rFonts w:hint="eastAsia"/>
        </w:rPr>
      </w:pPr>
      <w:r>
        <w:rPr>
          <w:rFonts w:hint="eastAsia"/>
        </w:rPr>
        <w:t>近期目标</w:t>
      </w:r>
      <w:r>
        <w:rPr>
          <w:rFonts w:hint="eastAsia"/>
          <w:lang w:eastAsia="zh-CN"/>
        </w:rPr>
        <w:t>：</w:t>
      </w:r>
      <w:r>
        <w:rPr>
          <w:rFonts w:hint="eastAsia"/>
        </w:rPr>
        <w:t>计划2025年12月前通过绿色矿山</w:t>
      </w:r>
      <w:r>
        <w:rPr>
          <w:rFonts w:hint="eastAsia"/>
          <w:lang w:val="en-US" w:eastAsia="zh-CN"/>
        </w:rPr>
        <w:t>第三方评估</w:t>
      </w:r>
      <w:r>
        <w:rPr>
          <w:rFonts w:hint="eastAsia"/>
        </w:rPr>
        <w:t>，进入陕西省绿色矿山名录。</w:t>
      </w:r>
    </w:p>
    <w:p w14:paraId="2805B8C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中期目标：</w:t>
      </w:r>
      <w:r>
        <w:rPr>
          <w:rFonts w:hint="default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年</w:t>
      </w:r>
      <w:r>
        <w:rPr>
          <w:rFonts w:hint="default"/>
          <w:lang w:val="en-US" w:eastAsia="zh-CN"/>
        </w:rPr>
        <w:t>-</w:t>
      </w:r>
      <w:r>
        <w:rPr>
          <w:rFonts w:hint="eastAsia"/>
          <w:lang w:val="en-US" w:eastAsia="zh-CN"/>
        </w:rPr>
        <w:t>2027年</w:t>
      </w:r>
      <w:r>
        <w:rPr>
          <w:rFonts w:hint="default"/>
          <w:lang w:eastAsia="zh-CN"/>
        </w:rPr>
        <w:t>，</w:t>
      </w:r>
      <w:r>
        <w:rPr>
          <w:rFonts w:hint="default"/>
          <w:lang w:val="en-US" w:eastAsia="zh-CN"/>
        </w:rPr>
        <w:t>持续推进绿色矿山建设</w:t>
      </w:r>
      <w:r>
        <w:rPr>
          <w:rFonts w:hint="eastAsia"/>
          <w:lang w:val="en-US" w:eastAsia="zh-CN"/>
        </w:rPr>
        <w:t>，在</w:t>
      </w:r>
      <w:r>
        <w:rPr>
          <w:rFonts w:hint="default"/>
        </w:rPr>
        <w:t>对前期的工作成果总结巩固的前提下，</w:t>
      </w:r>
      <w:r>
        <w:rPr>
          <w:rFonts w:hint="default"/>
          <w:lang w:val="en-US" w:eastAsia="zh-CN"/>
        </w:rPr>
        <w:t>对存在问题的整改，进一步提升绿色矿山</w:t>
      </w:r>
      <w:r>
        <w:rPr>
          <w:rFonts w:hint="default"/>
        </w:rPr>
        <w:t>的建设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力争2027年底进入国家级绿色矿山名录</w:t>
      </w:r>
      <w:r>
        <w:rPr>
          <w:rFonts w:hint="default"/>
          <w:lang w:val="en-US" w:eastAsia="zh-CN"/>
        </w:rPr>
        <w:t>。</w:t>
      </w:r>
    </w:p>
    <w:p w14:paraId="482EBE43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远期目标：2028年-闭矿</w:t>
      </w:r>
      <w:r>
        <w:rPr>
          <w:rFonts w:hint="eastAsia"/>
        </w:rPr>
        <w:t>继续巩固绿色矿山创建取得的成果，在此基础上，向着全面绿色矿山建设的目标继续奋斗。</w:t>
      </w:r>
    </w:p>
    <w:p w14:paraId="111BF042">
      <w:pPr>
        <w:bidi w:val="0"/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eastAsia="zh-CN"/>
        </w:rPr>
        <w:t>绿色</w:t>
      </w:r>
      <w:r>
        <w:rPr>
          <w:rFonts w:hint="default"/>
          <w:b/>
          <w:bCs/>
          <w:lang w:val="en-US" w:eastAsia="zh-CN"/>
        </w:rPr>
        <w:t>矿山</w:t>
      </w:r>
      <w:r>
        <w:rPr>
          <w:rFonts w:hint="default"/>
          <w:b/>
          <w:bCs/>
        </w:rPr>
        <w:t>建设工程</w:t>
      </w:r>
      <w:r>
        <w:rPr>
          <w:rFonts w:hint="eastAsia"/>
          <w:b/>
          <w:bCs/>
          <w:lang w:val="en-US" w:eastAsia="zh-CN"/>
        </w:rPr>
        <w:t>及</w:t>
      </w:r>
      <w:r>
        <w:rPr>
          <w:rFonts w:hint="default"/>
          <w:b/>
          <w:bCs/>
          <w:lang w:eastAsia="zh-CN"/>
        </w:rPr>
        <w:t>费用</w:t>
      </w:r>
      <w:r>
        <w:rPr>
          <w:rFonts w:hint="eastAsia"/>
          <w:b/>
          <w:bCs/>
          <w:lang w:val="en-US" w:eastAsia="zh-CN"/>
        </w:rPr>
        <w:t>情况：</w:t>
      </w:r>
    </w:p>
    <w:p w14:paraId="5E592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eastAsia="zh-CN"/>
        </w:rPr>
        <w:t>绿色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矿山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建设工程</w:t>
      </w: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及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eastAsia="zh-CN"/>
        </w:rPr>
        <w:t>费用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汇总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表</w:t>
      </w:r>
    </w:p>
    <w:tbl>
      <w:tblPr>
        <w:tblStyle w:val="12"/>
        <w:tblW w:w="63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052"/>
        <w:gridCol w:w="2298"/>
      </w:tblGrid>
      <w:tr w14:paraId="23B1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概算费用</w:t>
            </w:r>
          </w:p>
          <w:p w14:paraId="4A84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179F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矿区环境治理工程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E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61900</w:t>
            </w:r>
          </w:p>
        </w:tc>
      </w:tr>
      <w:tr w14:paraId="455C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9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绿色低碳建设工程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212800</w:t>
            </w:r>
          </w:p>
        </w:tc>
      </w:tr>
      <w:tr w14:paraId="6FD8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矿山生态修复工程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24638699</w:t>
            </w:r>
          </w:p>
        </w:tc>
      </w:tr>
      <w:tr w14:paraId="2D9A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3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2D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矿区环境监测工程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17000</w:t>
            </w:r>
          </w:p>
        </w:tc>
      </w:tr>
      <w:tr w14:paraId="40CA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F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企地和谐建设工程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110000</w:t>
            </w:r>
          </w:p>
        </w:tc>
      </w:tr>
      <w:tr w14:paraId="7D99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E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企业管理与企业形象建设工程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5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194000</w:t>
            </w:r>
          </w:p>
        </w:tc>
      </w:tr>
      <w:tr w14:paraId="77DA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25234399</w:t>
            </w:r>
          </w:p>
        </w:tc>
      </w:tr>
    </w:tbl>
    <w:p w14:paraId="140FD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b/>
          <w:bCs/>
          <w:color w:val="auto"/>
          <w:sz w:val="24"/>
          <w:szCs w:val="24"/>
        </w:rPr>
      </w:pPr>
    </w:p>
    <w:p w14:paraId="6D2A6615">
      <w:pPr>
        <w:bidi w:val="0"/>
        <w:rPr>
          <w:rFonts w:hint="default"/>
          <w:b/>
          <w:bCs/>
          <w:lang w:val="en-US" w:eastAsia="zh-CN"/>
        </w:rPr>
      </w:pPr>
      <w:r>
        <w:rPr>
          <w:b/>
          <w:bCs/>
        </w:rPr>
        <w:t>绿色矿山建设</w:t>
      </w:r>
      <w:r>
        <w:rPr>
          <w:rFonts w:hint="eastAsia"/>
          <w:b/>
          <w:bCs/>
          <w:lang w:val="en-US" w:eastAsia="zh-CN"/>
        </w:rPr>
        <w:t>领导小组：</w:t>
      </w:r>
    </w:p>
    <w:p w14:paraId="10D5536D">
      <w:pPr>
        <w:bidi w:val="0"/>
        <w:rPr>
          <w:rFonts w:hint="eastAsia"/>
          <w:lang w:eastAsia="zh-CN"/>
        </w:rPr>
      </w:pPr>
      <w:r>
        <w:t>由</w:t>
      </w:r>
      <w:r>
        <w:rPr>
          <w:rFonts w:hint="eastAsia"/>
          <w:lang w:val="en-US" w:eastAsia="zh-CN"/>
        </w:rPr>
        <w:t>总经理</w:t>
      </w:r>
      <w:r>
        <w:t>为绿色矿山建设领导小组组长，领导小组由生产技术部、</w:t>
      </w:r>
      <w:r>
        <w:rPr>
          <w:rFonts w:hint="eastAsia"/>
        </w:rPr>
        <w:t>安环检查部、保卫科、</w:t>
      </w:r>
      <w:r>
        <w:t>财务部、</w:t>
      </w:r>
      <w:r>
        <w:rPr>
          <w:rFonts w:hint="eastAsia"/>
        </w:rPr>
        <w:t>后勤服务中心</w:t>
      </w:r>
      <w:r>
        <w:t>、综合办公室等部门成员组成。</w:t>
      </w:r>
      <w:r>
        <w:rPr>
          <w:rFonts w:hint="eastAsia"/>
          <w:lang w:val="en-US" w:eastAsia="zh-CN"/>
        </w:rPr>
        <w:t>领导小组办公室设在</w:t>
      </w:r>
      <w:r>
        <w:rPr>
          <w:rFonts w:hint="eastAsia"/>
        </w:rPr>
        <w:t>安环检查部</w:t>
      </w:r>
      <w:r>
        <w:rPr>
          <w:rFonts w:hint="eastAsia"/>
          <w:lang w:eastAsia="zh-CN"/>
        </w:rPr>
        <w:t>。</w:t>
      </w:r>
    </w:p>
    <w:p w14:paraId="72B056B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  长：孙宝平（矿长）</w:t>
      </w:r>
    </w:p>
    <w:p w14:paraId="5F103E4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副组长：王  荣、樊鹏飞、李宝利（副矿长）</w:t>
      </w:r>
    </w:p>
    <w:p w14:paraId="36524B3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  员：高增华、张  鹏、闫攀峰、李海飞、刘志荣、苏启平、贺 宇、白蛟蛟、薛 磊、魏宝红（部门负责人）</w:t>
      </w:r>
    </w:p>
    <w:p w14:paraId="799896F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绿色矿山建设领导小组下设绿色矿山建设办公室，办公室主任由安全副总工程师闫攀峰兼任。</w:t>
      </w:r>
    </w:p>
    <w:p w14:paraId="31D4A756">
      <w:pPr>
        <w:bidi w:val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E4016">
    <w:pPr>
      <w:pStyle w:val="8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5F2D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65F2D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11104"/>
    <w:rsid w:val="033602F2"/>
    <w:rsid w:val="05312F48"/>
    <w:rsid w:val="05933C67"/>
    <w:rsid w:val="0CD3059B"/>
    <w:rsid w:val="0FB12275"/>
    <w:rsid w:val="1103045E"/>
    <w:rsid w:val="11BF031B"/>
    <w:rsid w:val="15614570"/>
    <w:rsid w:val="157A24C8"/>
    <w:rsid w:val="19BA1E5C"/>
    <w:rsid w:val="1BFE2CE6"/>
    <w:rsid w:val="1EAA2CB1"/>
    <w:rsid w:val="2A0064C4"/>
    <w:rsid w:val="2B4864D2"/>
    <w:rsid w:val="2CE133A8"/>
    <w:rsid w:val="32857C49"/>
    <w:rsid w:val="33AD5019"/>
    <w:rsid w:val="348C48EB"/>
    <w:rsid w:val="3A8C639A"/>
    <w:rsid w:val="3D0E02FD"/>
    <w:rsid w:val="44FE772F"/>
    <w:rsid w:val="4AB3157C"/>
    <w:rsid w:val="4EA5667B"/>
    <w:rsid w:val="4F652863"/>
    <w:rsid w:val="545F7ABE"/>
    <w:rsid w:val="54A454D1"/>
    <w:rsid w:val="564F5ABD"/>
    <w:rsid w:val="59E01F16"/>
    <w:rsid w:val="5C386BA0"/>
    <w:rsid w:val="5D476DDA"/>
    <w:rsid w:val="60C74A21"/>
    <w:rsid w:val="61CE3B8D"/>
    <w:rsid w:val="62AD1B17"/>
    <w:rsid w:val="62FE04A2"/>
    <w:rsid w:val="6B6D5A44"/>
    <w:rsid w:val="6C0E2B9B"/>
    <w:rsid w:val="6DA90773"/>
    <w:rsid w:val="71011104"/>
    <w:rsid w:val="71660A98"/>
    <w:rsid w:val="763B7DBD"/>
    <w:rsid w:val="76921E0C"/>
    <w:rsid w:val="77814BC8"/>
    <w:rsid w:val="7B2A5CF7"/>
    <w:rsid w:val="7FF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Autospacing="0"/>
      <w:ind w:firstLine="0" w:firstLineChars="0"/>
      <w:jc w:val="center"/>
      <w:outlineLvl w:val="0"/>
    </w:pPr>
    <w:rPr>
      <w:rFonts w:hint="eastAsia" w:ascii="宋体" w:hAnsi="宋体" w:cs="宋体" w:eastAsiaTheme="majorEastAsia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0" w:firstLineChars="0"/>
      <w:jc w:val="left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ascii="Calibri" w:hAnsi="Calibri" w:eastAsia="宋体" w:cs="Times New Roman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120" w:after="120" w:line="360" w:lineRule="auto"/>
      <w:ind w:firstLine="562"/>
      <w:outlineLvl w:val="3"/>
    </w:pPr>
    <w:rPr>
      <w:rFonts w:ascii="Times New Roman" w:hAnsi="Times New Roman"/>
      <w:b/>
      <w:bCs/>
      <w:color w:val="000000"/>
      <w:kern w:val="0"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sz w:val="21"/>
      <w:szCs w:val="24"/>
    </w:rPr>
  </w:style>
  <w:style w:type="paragraph" w:styleId="7">
    <w:name w:val="toc 3"/>
    <w:basedOn w:val="1"/>
    <w:next w:val="1"/>
    <w:qFormat/>
    <w:uiPriority w:val="0"/>
    <w:pPr>
      <w:ind w:left="480" w:leftChars="200" w:firstLine="1044" w:firstLineChars="200"/>
    </w:pPr>
    <w:rPr>
      <w:rFonts w:ascii="Times New Roman" w:hAnsi="Times New Roman" w:eastAsia="宋体" w:cs="Times New Roman"/>
      <w:color w:val="auto"/>
      <w:sz w:val="24"/>
      <w:lang w:eastAsia="en-US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Calibri" w:hAnsi="Calibri" w:eastAsia="宋体" w:cs="Times New Roman"/>
      <w:sz w:val="21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  <w:pPr>
      <w:ind w:firstLine="0" w:firstLineChars="0"/>
    </w:pPr>
    <w:rPr>
      <w:rFonts w:eastAsia="宋体"/>
      <w:sz w:val="24"/>
    </w:rPr>
  </w:style>
  <w:style w:type="paragraph" w:styleId="11">
    <w:name w:val="toc 2"/>
    <w:basedOn w:val="1"/>
    <w:next w:val="1"/>
    <w:qFormat/>
    <w:uiPriority w:val="0"/>
    <w:pPr>
      <w:ind w:left="0" w:leftChars="0"/>
    </w:pPr>
    <w:rPr>
      <w:rFonts w:ascii="Times New Roman" w:hAnsi="Times New Roman" w:eastAsia="宋体" w:cs="Times New Roman"/>
      <w:color w:val="auto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852</Characters>
  <Lines>0</Lines>
  <Paragraphs>0</Paragraphs>
  <TotalTime>2</TotalTime>
  <ScaleCrop>false</ScaleCrop>
  <LinksUpToDate>false</LinksUpToDate>
  <CharactersWithSpaces>857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2026-01-14T07:59:00Z</dcterms:created>
  <dc:creator>Admini</dc:creator>
  <cp:lastModifiedBy>别太放肆丨没什么用</cp:lastModifiedBy>
  <dcterms:modified xsi:type="dcterms:W3CDTF">2026-01-14T09:24:53Z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239D8F36293341D8B0455975E83E5FAD_13</vt:lpwstr>
  </property>
  <property fmtid="{D5CDD505-2E9C-101B-9397-08002B2CF9AE}" pid="4" name="KSOTemplateDocerSaveRecord">
    <vt:lpwstr>eyJoZGlkIjoiZjk3MTdjNzdkNzcxOWViZWEwYTQ0MTRhZDFhNDJjYjciLCJ1c2VySWQiOiIyOTE3MDAzODgifQ==</vt:lpwstr>
  </property>
</Properties>
</file>